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0C" w:rsidRDefault="000B16FA" w:rsidP="000B16F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_DdeLink__6166_752773848"/>
      <w:bookmarkEnd w:id="0"/>
      <w:r w:rsidRPr="000B16FA">
        <w:rPr>
          <w:rFonts w:ascii="Times New Roman" w:hAnsi="Times New Roman" w:cs="Times New Roman"/>
          <w:b/>
          <w:sz w:val="28"/>
          <w:szCs w:val="28"/>
        </w:rPr>
        <w:t>EXCELENTÍSSIMO SENHOR DOUTOR. PRESIDENTE (OU VICE-PRESIDENTE) (...) DO COLENDO (...)</w:t>
      </w:r>
    </w:p>
    <w:p w:rsidR="000B16FA" w:rsidRDefault="000B16FA" w:rsidP="000B16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6FA" w:rsidRPr="000B16FA" w:rsidRDefault="000B16FA" w:rsidP="000B16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20C" w:rsidRDefault="0007720C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 w:rsidRPr="000B16FA">
        <w:rPr>
          <w:rFonts w:ascii="Times New Roman" w:hAnsi="Times New Roman" w:cs="Times New Roman"/>
          <w:sz w:val="28"/>
          <w:szCs w:val="28"/>
        </w:rPr>
        <w:t>Autos: (...)</w:t>
      </w: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(...), por seus advogados subscritores, nos autos do recurso especial em epígrafe interposto por (...), vem,respeitosamente, perante Vossa Excelência, diante da r. decisão monocrática de fls.(...), interpor opresente</w:t>
      </w: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B16FA" w:rsidP="000B1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16FA">
        <w:rPr>
          <w:rFonts w:ascii="Times New Roman" w:hAnsi="Times New Roman" w:cs="Times New Roman"/>
          <w:sz w:val="28"/>
          <w:szCs w:val="28"/>
        </w:rPr>
        <w:t>AGRAVO EM RECURSO ESPECIAL (OU EXTRAORDINÁRIO)</w:t>
      </w:r>
    </w:p>
    <w:p w:rsidR="000B16FA" w:rsidRDefault="000B16FA" w:rsidP="000B16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7720C" w:rsidP="000B16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6FA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B16FA">
        <w:rPr>
          <w:rFonts w:ascii="Times New Roman" w:hAnsi="Times New Roman" w:cs="Times New Roman"/>
          <w:sz w:val="28"/>
          <w:szCs w:val="28"/>
        </w:rPr>
        <w:t xml:space="preserve"> que faz com fundamento no artigo 1.042 do Código de Processo Civil e pelas razões a seguir aduzidas:</w:t>
      </w: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 w:rsidRPr="000B16FA">
        <w:rPr>
          <w:rFonts w:ascii="Times New Roman" w:hAnsi="Times New Roman" w:cs="Times New Roman"/>
          <w:sz w:val="28"/>
          <w:szCs w:val="28"/>
        </w:rPr>
        <w:t>OBJETO DESTE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6FA">
        <w:rPr>
          <w:rFonts w:ascii="Times New Roman" w:hAnsi="Times New Roman" w:cs="Times New Roman"/>
          <w:sz w:val="28"/>
          <w:szCs w:val="28"/>
        </w:rPr>
        <w:t>RECURSO</w:t>
      </w: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É obter a reforma da r. decisão que não admitiu o Recurso Especial oportunamente interposto (fls... dos autos), aduzindo, para tanto,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que  o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acórdão objeto do recurso interposto coincide com orientação da Corte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20C" w:rsidRPr="000B16FA">
        <w:rPr>
          <w:rFonts w:ascii="Times New Roman" w:hAnsi="Times New Roman" w:cs="Times New Roman"/>
          <w:sz w:val="28"/>
          <w:szCs w:val="28"/>
        </w:rPr>
        <w:t>Superior.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Para  tanto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>,  invocou-se  o  precedente  julgado  nos  termos  do art.</w:t>
      </w:r>
      <w:r w:rsidR="002C2975" w:rsidRPr="000B16FA">
        <w:rPr>
          <w:rFonts w:ascii="Times New Roman" w:hAnsi="Times New Roman" w:cs="Times New Roman"/>
          <w:sz w:val="28"/>
          <w:szCs w:val="28"/>
        </w:rPr>
        <w:t xml:space="preserve"> </w:t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1.036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Código de Processo Civil, consubstanciado no seguinte aresto: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7720C" w:rsidP="000B16FA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Superior Tribunal de Justiça.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“Processo Civil.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Recurso Repetitivo. Art. 543-c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do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CPC.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Fraude de execução.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Embargos de terceiro.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Súmula n. 375/STJ.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Citação válida.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Necessidade.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Ciência de demanda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capaz  de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levaro alienante à insolvência.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Prova.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Ônus do credor.Registro da penhora. Art. 659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,  §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4º,  do CPC [atual art. 844]. 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Presunção de fraude.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 Art. 615-A, § 3º [atual art. 828, § 4º], do CPC. 1.  Para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fins  do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art. 543-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C  doCPC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[atual art. 1.036], firma-se a seguinteorientação: 1.1.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É indispensável citação válida para configuração da fraude de execução, ressalvada a hipótese prevista no § 3º do art.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615-A do CPC [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atual  art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>. 828, § 4º]. 1.2. O reconhecimento da fraude de execução depende do registro da penhora do bem alienado ou da prova de má-fé do terceiroadquirente (Súmula n. 375/STJ). 1.3. A presunção de boa-fé é princípio geral de direito universalmente aceito, sendo milenar a parêmia: a boa-fé se presume; a má-fé se prova. 1.4. Inexistindo registro da penhora na matrícula do imóvel, é do credor o ônus da prova de que o terceiro adquirente tinha conhecimento de demanda capaz de levar o alienante à insolvência, sob pena de tornar-se letra morta o disposto no  art.  659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,  §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4º, do CPC [atual art. 844]. 1.5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.  Conforme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previsto no § 3º do art. 615-A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do  CPC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>[atual  art.  828,  §  4º],  presume-se  em  fraude  de  execução a</w:t>
      </w:r>
      <w:r w:rsidR="002C2975" w:rsidRPr="000B1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16FA">
        <w:rPr>
          <w:rFonts w:ascii="Times New Roman" w:hAnsi="Times New Roman" w:cs="Times New Roman"/>
          <w:i/>
          <w:sz w:val="28"/>
          <w:szCs w:val="28"/>
        </w:rPr>
        <w:t xml:space="preserve">alienação ou oneração de bens realizada após a averbação referida no dispositivo. 2. Para a solução do caso concreto: 2.1.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Aplicação da tese firmada.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2.2. Recurso especial provido para se  anular  o  acórdão recorrido e a sentença e, consequentemente, determinar o  prosseguimento do processo para a realização da  instrução processual  na forma requerida pelos recorrentes” (REsp 956.943/PR – Rel. Ministra Nancy Andrighi – Rel. p/ Acórdão Ministro João Otávio  de  Noronha  – Corte Especial – julgado em 20.08.2014 – DJe  01.12.2014).</w:t>
      </w:r>
    </w:p>
    <w:p w:rsidR="000B16FA" w:rsidRPr="000B16FA" w:rsidRDefault="000B16FA" w:rsidP="000B16F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Nada obstante, a situação que se apresenta no vertente recurso é diversa daquela que embasou a decisão ora recorrida e,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verdade, se adequa ao precedente paradigma, mas em sentido totalmente inverso.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Isto porque restou evidente, não havendo necessidade de prova ou revolvimento de matéria fática, mas simples análise daquilo que resta incontroverso nos autos, que o recorrido adquiriu imóvel enquanto pendia execução em face do vendedor na mesma comarca em que  ele, vendedor do imóvel, declaroudomicílio.</w:t>
      </w:r>
    </w:p>
    <w:p w:rsidR="0007720C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Nada obstante, o recorrido não extraiu as certidões de praxe, mediante as quais poderia facilmente constatar a existência da execução de onde se extrai o vertente recurso, agindo, assim, com evidente má-fé.</w:t>
      </w: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 w:rsidRPr="000B16FA">
        <w:rPr>
          <w:rFonts w:ascii="Times New Roman" w:hAnsi="Times New Roman" w:cs="Times New Roman"/>
          <w:sz w:val="28"/>
          <w:szCs w:val="28"/>
        </w:rPr>
        <w:lastRenderedPageBreak/>
        <w:t>EXPOSIÇÃO DODIREITO</w:t>
      </w: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De fato, a má-fé não se presume, mas, no caso concreto,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decorre  da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incúria deliberada do recorrido que, repita-se, não extraiu as certidões de praxe que qualquer um providencia ao praticar o negócio jurídico quepraticou.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Pensar o contrário seria tornar letra morta o art.792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Código de Processo Civil, segundo o qual: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Pr="000B16FA" w:rsidRDefault="0007720C" w:rsidP="000B16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6FA">
        <w:rPr>
          <w:rFonts w:ascii="Times New Roman" w:hAnsi="Times New Roman" w:cs="Times New Roman"/>
          <w:i/>
          <w:sz w:val="28"/>
          <w:szCs w:val="28"/>
        </w:rPr>
        <w:t xml:space="preserve">“Art.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792. A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alienação ou a oneração de bem é considerada fraude à execução: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6FA">
        <w:rPr>
          <w:rFonts w:ascii="Times New Roman" w:hAnsi="Times New Roman" w:cs="Times New Roman"/>
          <w:i/>
          <w:sz w:val="28"/>
          <w:szCs w:val="28"/>
        </w:rPr>
        <w:t>(...)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6FA">
        <w:rPr>
          <w:rFonts w:ascii="Times New Roman" w:hAnsi="Times New Roman" w:cs="Times New Roman"/>
          <w:i/>
          <w:sz w:val="28"/>
          <w:szCs w:val="28"/>
        </w:rPr>
        <w:t xml:space="preserve">IV – quando, ao tempo da alienação ou da oneração, tramitava contra o devedor ação capaz de reduzi-lo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à  insolvência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>;”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Não subsistiria, igualmente, o art.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159 do Código Civil, no âmbito da</w:t>
      </w:r>
      <w:r w:rsidR="002C2975" w:rsidRPr="000B16FA">
        <w:rPr>
          <w:rFonts w:ascii="Times New Roman" w:hAnsi="Times New Roman" w:cs="Times New Roman"/>
          <w:sz w:val="28"/>
          <w:szCs w:val="28"/>
        </w:rPr>
        <w:t xml:space="preserve"> </w:t>
      </w:r>
      <w:r w:rsidR="0007720C" w:rsidRPr="000B16FA">
        <w:rPr>
          <w:rFonts w:ascii="Times New Roman" w:hAnsi="Times New Roman" w:cs="Times New Roman"/>
          <w:sz w:val="28"/>
          <w:szCs w:val="28"/>
        </w:rPr>
        <w:t>fraude contra credores.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Pr="000B16FA" w:rsidRDefault="0007720C" w:rsidP="000B16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6FA">
        <w:rPr>
          <w:rFonts w:ascii="Times New Roman" w:hAnsi="Times New Roman" w:cs="Times New Roman"/>
          <w:i/>
          <w:sz w:val="28"/>
          <w:szCs w:val="28"/>
        </w:rPr>
        <w:t>“Art. 159. Serão igualmente anuláveis os contratos onerosos do devedor insolvente, quando a insolvência for notória, ou houver motivo para ser conhecida do outro contratante.”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Ou seja, não haveria maisfraude contra credores no direito brasileiro se houvesse anulabilidade do negócio apenas depois da averbação do gravame.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Com todo respeito, a questão não é tão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simples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quanto parece.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Assim, mister se faz responder à seguinte indagação: posso adquirir tranquilamente um imóvel se não houver penhora, arresto, sequestro ou qualquer pendência registrada ou averbada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matrícula?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6FA">
        <w:rPr>
          <w:rFonts w:ascii="Times New Roman" w:hAnsi="Times New Roman" w:cs="Times New Roman"/>
          <w:sz w:val="28"/>
          <w:szCs w:val="28"/>
        </w:rPr>
        <w:t>Definitivamente não.</w:t>
      </w:r>
      <w:proofErr w:type="gramEnd"/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A par de o art.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54 da Lei 13.097/2015 estabelecer a eficácia dos negócios jurídicos imobiliários sem que haja qualquer constrição ou gravame na matrícula, esta presunção, como já decorria do sistema consolidado na Súmula 375 do STJ, é relativa.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Por outras palavras, evidentemente – e não haveria necessidade de Lei para isso – se houver registro ou averbação de gravame, a presunção de ineficácia da aquisição ou recebimento de direitos sobre o imóvel em face de ações reais, dívidas e restrições administrativas é absoluta, ou seja, não admitirá qualquer prova em sentido contrário.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Todavia, se não houver o registro, não significa, automaticamente, que o adquirente está livre tanto da fraude contra credores quanto da fraude à execução.</w:t>
      </w:r>
      <w:proofErr w:type="gramEnd"/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Não havendo registro de qualquer pendência, a conclusão evidente, evidentíssima, aliás, é que o ônus da prova de conhecimento do gravame ou constrição se transfere para o credor ou prejudicado.</w:t>
      </w:r>
      <w:proofErr w:type="gramEnd"/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Isto significa que se presume, de forma relativa, a higidez da transferência, modificação ou extinção do direito sobre o imóvel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se  não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houver registro ou averbação do gravame ou constrição, mas não significa que não tenha havido fraude contra credores ou fraude à execução.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Se não houver registro ou averbação de gravame,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eventual fraude</w:t>
      </w:r>
      <w:r w:rsidR="002C2975" w:rsidRPr="000B16FA">
        <w:rPr>
          <w:rFonts w:ascii="Times New Roman" w:hAnsi="Times New Roman" w:cs="Times New Roman"/>
          <w:sz w:val="28"/>
          <w:szCs w:val="28"/>
        </w:rPr>
        <w:t xml:space="preserve"> </w:t>
      </w:r>
      <w:r w:rsidR="0007720C" w:rsidRPr="000B16FA">
        <w:rPr>
          <w:rFonts w:ascii="Times New Roman" w:hAnsi="Times New Roman" w:cs="Times New Roman"/>
          <w:sz w:val="28"/>
          <w:szCs w:val="28"/>
        </w:rPr>
        <w:t>será objeto de verificação, caso a caso, em razão da demonstração, pelo credor ou pelo prejudicado, da má-fé do adquirente.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6FA">
        <w:rPr>
          <w:rFonts w:ascii="Times New Roman" w:hAnsi="Times New Roman" w:cs="Times New Roman"/>
          <w:sz w:val="28"/>
          <w:szCs w:val="28"/>
        </w:rPr>
        <w:t xml:space="preserve">Essa é a conclusão que se extrai do parágrafo único do art. 54 da Lei 13.097/2015, segundo o </w:t>
      </w:r>
      <w:r w:rsidRPr="000B16FA">
        <w:rPr>
          <w:rFonts w:ascii="Times New Roman" w:hAnsi="Times New Roman" w:cs="Times New Roman"/>
          <w:i/>
          <w:sz w:val="28"/>
          <w:szCs w:val="28"/>
        </w:rPr>
        <w:t xml:space="preserve">qual “Não poderão ser opostas situações jurídicas não constantes da matrícula no Registro de Imóveis, inclusive para fins de evicção, ao terceiro de boa-fé que adquirir ou receber em garantia direitos reais sobre o imóvel, ressalvados o disposto nos art.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129 e art.</w:t>
      </w:r>
      <w:proofErr w:type="gramEnd"/>
      <w:r w:rsidRPr="000B16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B16FA">
        <w:rPr>
          <w:rFonts w:ascii="Times New Roman" w:hAnsi="Times New Roman" w:cs="Times New Roman"/>
          <w:i/>
          <w:sz w:val="28"/>
          <w:szCs w:val="28"/>
        </w:rPr>
        <w:t>130 da Lei nº 11.101, de 09.02.2005, e as hipóteses de aquisição e extinção da propriedade que independam de registro de título de imóvel.”</w:t>
      </w:r>
      <w:proofErr w:type="gramEnd"/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Portanto, se – e percebam que o condicionante é importante – o adquirente estiver de boa-fé ao operar a aquisição ou o recebimento de garantia imobiliária, a ele não poderão ser opostas “situações jurídicas não constantes da matrícula”, ou seja, ações, penhoras, arrestos etc.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Contudo – e aí está a confusão – não significa que, não havendo o registro ou averbação de gravames ou constrições na matrícula, o sistema prestigie o negócio e beneficie o terceiro que haja procedido com má-fé.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Seria até absurdo pensar o contrário.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Possível exemplificar: imagine-se alguém, como no vertente caso, que adquira imóvel de pessoa que, a par de não ter, em face do seu imóvel, qualquer gravame registrado ou averbado, responde por dívidas ajuizadas, possui títulos protestados e assim por diante na mesma comarca da situação do imóvel.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O adquirente poderá ser considerado “de boa fé” nessa situação?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Evidentemente que não, de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tal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sorte que haverá a fraude à execução em relação às ações já ajuizadas e a fraude contra credores em relação àquelas não ajuizadas, até em virtude da interpretação correta do parágrafo único, do art.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54, da Lei13.097/2015.</w:t>
      </w:r>
      <w:proofErr w:type="gramEnd"/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A única diferença é que, nesses casos – de ausência de registro ou averbação do gravame ou constrição – competirá ao credor  demonstrar a má-fé do adquirente, o consilium fraudis, posto que em favor </w:t>
      </w:r>
      <w:r w:rsidR="0007720C" w:rsidRPr="000B16FA">
        <w:rPr>
          <w:rFonts w:ascii="Times New Roman" w:hAnsi="Times New Roman" w:cs="Times New Roman"/>
          <w:sz w:val="28"/>
          <w:szCs w:val="28"/>
        </w:rPr>
        <w:lastRenderedPageBreak/>
        <w:t>do adquirente do imóvel ou do recebedor da garantia</w:t>
      </w:r>
      <w:r w:rsidR="002C2975" w:rsidRPr="000B16FA">
        <w:rPr>
          <w:rFonts w:ascii="Times New Roman" w:hAnsi="Times New Roman" w:cs="Times New Roman"/>
          <w:sz w:val="28"/>
          <w:szCs w:val="28"/>
        </w:rPr>
        <w:t xml:space="preserve"> </w:t>
      </w:r>
      <w:r w:rsidR="0007720C" w:rsidRPr="000B16FA">
        <w:rPr>
          <w:rFonts w:ascii="Times New Roman" w:hAnsi="Times New Roman" w:cs="Times New Roman"/>
          <w:sz w:val="28"/>
          <w:szCs w:val="28"/>
        </w:rPr>
        <w:t>consistente</w:t>
      </w:r>
      <w:r w:rsidR="002C2975" w:rsidRPr="000B16FA">
        <w:rPr>
          <w:rFonts w:ascii="Times New Roman" w:hAnsi="Times New Roman" w:cs="Times New Roman"/>
          <w:sz w:val="28"/>
          <w:szCs w:val="28"/>
        </w:rPr>
        <w:t xml:space="preserve"> </w:t>
      </w:r>
      <w:r w:rsidR="0007720C" w:rsidRPr="000B16FA">
        <w:rPr>
          <w:rFonts w:ascii="Times New Roman" w:hAnsi="Times New Roman" w:cs="Times New Roman"/>
          <w:sz w:val="28"/>
          <w:szCs w:val="28"/>
        </w:rPr>
        <w:t>em imóvel militará a presunção – relativa – de boa-fé.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Contudo, sem extrair as certidões de praxe, a má-fé aflora e, a par de não haver qualquer constrição na matrícula, o negócio jurídico praticado será ineficaz perante ação ou execução já aforada, que tenham o condão de reduzir o alienante à insolvência; poderá ser anulada em razão da fraude contra credores no caso de dívidas ainda não ajuizadas através da ação pauliana ou revocatória; ou, será anulada nos casos de falsificações de documentos do titular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do  imóvel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>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Pensar diferente seria premiar a má-fé, o que, definitivamente não decorre do sistema.</w:t>
      </w:r>
    </w:p>
    <w:p w:rsidR="0007720C" w:rsidRPr="000B16FA" w:rsidRDefault="0007720C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 w:rsidRPr="000B16FA">
        <w:rPr>
          <w:rFonts w:ascii="Times New Roman" w:hAnsi="Times New Roman" w:cs="Times New Roman"/>
          <w:sz w:val="28"/>
          <w:szCs w:val="28"/>
        </w:rPr>
        <w:t>De acordo com a Súmula 375/STJ: “O reconhecimento da fraude à execução depende do registro da penhora do bem alienado ou da prova de má-fé do terceiro adquirente”.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O que isso quer dizer?</w:t>
      </w:r>
    </w:p>
    <w:p w:rsidR="0007720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Quer dizerexatamenteaquilo que foi incorporado, com uma linguagem confusa, pela Medida Provisória 656/2014 e pela Lei 13.097/2015, ou seja, que não havendo registro na matrícula, de qualquer gravame, ao credor incumbe a prova que o adquirente agiu de má-fé.</w:t>
      </w:r>
    </w:p>
    <w:p w:rsidR="0007720C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>E essa prova pode consistir apenas na constatação que decorre da ausência do oferecimento das certidões de praxe na comarca do imóvel, quando facilmente, por tais documentos, poderia o adquirente verificar a insolvência do alienante ou a dívida.</w:t>
      </w: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 w:rsidRPr="000B16FA">
        <w:rPr>
          <w:rFonts w:ascii="Times New Roman" w:hAnsi="Times New Roman" w:cs="Times New Roman"/>
          <w:sz w:val="28"/>
          <w:szCs w:val="28"/>
        </w:rPr>
        <w:t>PEDIDO</w:t>
      </w: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Pede-se e espera-se que essa Eg.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Presidência, em razão do exposto, i.e., da admissibilidade e procedência do Recurso Especial, ordene o processamento e remessa deste agravo ao Egrégio Superior Tribunal de Justiça para que seja conhecido pelo D. Relator designado e por ele dado provimento 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20C" w:rsidRPr="000B16FA">
        <w:rPr>
          <w:rFonts w:ascii="Times New Roman" w:hAnsi="Times New Roman" w:cs="Times New Roman"/>
          <w:sz w:val="28"/>
          <w:szCs w:val="28"/>
        </w:rPr>
        <w:t>recurso.</w:t>
      </w:r>
    </w:p>
    <w:p w:rsid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 w:rsidRPr="000B16FA">
        <w:rPr>
          <w:rFonts w:ascii="Times New Roman" w:hAnsi="Times New Roman" w:cs="Times New Roman"/>
          <w:sz w:val="28"/>
          <w:szCs w:val="28"/>
        </w:rPr>
        <w:t>REQUERIMENTO</w:t>
      </w: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0C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20C" w:rsidRPr="000B16FA">
        <w:rPr>
          <w:rFonts w:ascii="Times New Roman" w:hAnsi="Times New Roman" w:cs="Times New Roman"/>
          <w:sz w:val="28"/>
          <w:szCs w:val="28"/>
        </w:rPr>
        <w:t xml:space="preserve">Isto posto, serve a presente para requerer a V. Excelência que, protocolada esta petição </w:t>
      </w:r>
      <w:proofErr w:type="gramStart"/>
      <w:r w:rsidR="0007720C" w:rsidRPr="000B16FA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07720C" w:rsidRPr="000B16FA">
        <w:rPr>
          <w:rFonts w:ascii="Times New Roman" w:hAnsi="Times New Roman" w:cs="Times New Roman"/>
          <w:sz w:val="28"/>
          <w:szCs w:val="28"/>
        </w:rPr>
        <w:t xml:space="preserve"> Secretaria desse Eg. Tribunal, intime-se a</w:t>
      </w:r>
      <w:r w:rsidR="002C2975" w:rsidRPr="000B16FA">
        <w:rPr>
          <w:rFonts w:ascii="Times New Roman" w:hAnsi="Times New Roman" w:cs="Times New Roman"/>
          <w:sz w:val="28"/>
          <w:szCs w:val="28"/>
        </w:rPr>
        <w:t xml:space="preserve"> </w:t>
      </w:r>
      <w:r w:rsidR="0007720C" w:rsidRPr="000B16FA">
        <w:rPr>
          <w:rFonts w:ascii="Times New Roman" w:hAnsi="Times New Roman" w:cs="Times New Roman"/>
          <w:sz w:val="28"/>
          <w:szCs w:val="28"/>
        </w:rPr>
        <w:t>agravada para responder, querendo, no prazo de 15 dias, sendo que, ao depois sejam os autos remetidos ao Egrégio Superior Tribunal de Justiça para conhecimento e provimento nos exatos termos do art. 1.042, § 5º, do CPC, cumpridas as necessárias formalidades legais.</w:t>
      </w:r>
    </w:p>
    <w:p w:rsidR="000B16FA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6FA" w:rsidRDefault="000B16FA" w:rsidP="000B16FA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lastRenderedPageBreak/>
        <w:t>Respeitosamente</w:t>
      </w:r>
      <w:proofErr w:type="gramStart"/>
      <w:r>
        <w:rPr>
          <w:rFonts w:ascii="Times New Roman" w:hAnsi="Times New Roman"/>
          <w:sz w:val="28"/>
          <w:szCs w:val="28"/>
        </w:rPr>
        <w:t>,  pede</w:t>
      </w:r>
      <w:proofErr w:type="gramEnd"/>
      <w:r>
        <w:rPr>
          <w:rFonts w:ascii="Times New Roman" w:hAnsi="Times New Roman"/>
          <w:sz w:val="28"/>
          <w:szCs w:val="28"/>
        </w:rPr>
        <w:t xml:space="preserve"> deferimento.</w:t>
      </w:r>
    </w:p>
    <w:p w:rsidR="000B16FA" w:rsidRDefault="000B16FA" w:rsidP="000B16F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B16FA" w:rsidRDefault="000B16FA" w:rsidP="000B16FA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Cidade...,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0B16FA" w:rsidRDefault="000B16FA" w:rsidP="000B16F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B16FA" w:rsidRDefault="000B16FA" w:rsidP="000B16F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B16FA" w:rsidRDefault="000B16FA" w:rsidP="000B16FA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</w:p>
    <w:p w:rsidR="000B16FA" w:rsidRDefault="000B16FA" w:rsidP="000B16FA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013BC" w:rsidRPr="000B16FA" w:rsidRDefault="000B16FA" w:rsidP="000B16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0B16FA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15" w:rsidRDefault="00FF5415" w:rsidP="006A56EE">
      <w:r>
        <w:separator/>
      </w:r>
    </w:p>
  </w:endnote>
  <w:endnote w:type="continuationSeparator" w:id="1">
    <w:p w:rsidR="00FF5415" w:rsidRDefault="00FF5415" w:rsidP="006A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0B16FA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15" w:rsidRDefault="00FF5415" w:rsidP="006A56EE">
      <w:r>
        <w:separator/>
      </w:r>
    </w:p>
  </w:footnote>
  <w:footnote w:type="continuationSeparator" w:id="1">
    <w:p w:rsidR="00FF5415" w:rsidRDefault="00FF5415" w:rsidP="006A5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F3A38"/>
    <w:multiLevelType w:val="hybridMultilevel"/>
    <w:tmpl w:val="8B04BD16"/>
    <w:lvl w:ilvl="0" w:tplc="9E00CDAC">
      <w:start w:val="3"/>
      <w:numFmt w:val="upperRoman"/>
      <w:lvlText w:val="%1"/>
      <w:lvlJc w:val="left"/>
      <w:pPr>
        <w:ind w:left="678" w:hanging="301"/>
      </w:pPr>
      <w:rPr>
        <w:rFonts w:ascii="Arial" w:eastAsia="Arial" w:hAnsi="Arial" w:cs="Arial" w:hint="default"/>
        <w:b/>
        <w:bCs/>
        <w:spacing w:val="-1"/>
        <w:w w:val="100"/>
        <w:sz w:val="27"/>
        <w:szCs w:val="27"/>
      </w:rPr>
    </w:lvl>
    <w:lvl w:ilvl="1" w:tplc="D062B936">
      <w:start w:val="1"/>
      <w:numFmt w:val="bullet"/>
      <w:lvlText w:val="•"/>
      <w:lvlJc w:val="left"/>
      <w:pPr>
        <w:ind w:left="1478" w:hanging="301"/>
      </w:pPr>
      <w:rPr>
        <w:rFonts w:hint="default"/>
      </w:rPr>
    </w:lvl>
    <w:lvl w:ilvl="2" w:tplc="CBB8DFCA">
      <w:start w:val="1"/>
      <w:numFmt w:val="bullet"/>
      <w:lvlText w:val="•"/>
      <w:lvlJc w:val="left"/>
      <w:pPr>
        <w:ind w:left="2277" w:hanging="301"/>
      </w:pPr>
      <w:rPr>
        <w:rFonts w:hint="default"/>
      </w:rPr>
    </w:lvl>
    <w:lvl w:ilvl="3" w:tplc="CFEAC232">
      <w:start w:val="1"/>
      <w:numFmt w:val="bullet"/>
      <w:lvlText w:val="•"/>
      <w:lvlJc w:val="left"/>
      <w:pPr>
        <w:ind w:left="3075" w:hanging="301"/>
      </w:pPr>
      <w:rPr>
        <w:rFonts w:hint="default"/>
      </w:rPr>
    </w:lvl>
    <w:lvl w:ilvl="4" w:tplc="6CF2D812">
      <w:start w:val="1"/>
      <w:numFmt w:val="bullet"/>
      <w:lvlText w:val="•"/>
      <w:lvlJc w:val="left"/>
      <w:pPr>
        <w:ind w:left="3874" w:hanging="301"/>
      </w:pPr>
      <w:rPr>
        <w:rFonts w:hint="default"/>
      </w:rPr>
    </w:lvl>
    <w:lvl w:ilvl="5" w:tplc="EB968C24">
      <w:start w:val="1"/>
      <w:numFmt w:val="bullet"/>
      <w:lvlText w:val="•"/>
      <w:lvlJc w:val="left"/>
      <w:pPr>
        <w:ind w:left="4672" w:hanging="301"/>
      </w:pPr>
      <w:rPr>
        <w:rFonts w:hint="default"/>
      </w:rPr>
    </w:lvl>
    <w:lvl w:ilvl="6" w:tplc="DF7630D8">
      <w:start w:val="1"/>
      <w:numFmt w:val="bullet"/>
      <w:lvlText w:val="•"/>
      <w:lvlJc w:val="left"/>
      <w:pPr>
        <w:ind w:left="5471" w:hanging="301"/>
      </w:pPr>
      <w:rPr>
        <w:rFonts w:hint="default"/>
      </w:rPr>
    </w:lvl>
    <w:lvl w:ilvl="7" w:tplc="22569882">
      <w:start w:val="1"/>
      <w:numFmt w:val="bullet"/>
      <w:lvlText w:val="•"/>
      <w:lvlJc w:val="left"/>
      <w:pPr>
        <w:ind w:left="6269" w:hanging="301"/>
      </w:pPr>
      <w:rPr>
        <w:rFonts w:hint="default"/>
      </w:rPr>
    </w:lvl>
    <w:lvl w:ilvl="8" w:tplc="480A2E18">
      <w:start w:val="1"/>
      <w:numFmt w:val="bullet"/>
      <w:lvlText w:val="•"/>
      <w:lvlJc w:val="left"/>
      <w:pPr>
        <w:ind w:left="7068" w:hanging="301"/>
      </w:pPr>
      <w:rPr>
        <w:rFonts w:hint="default"/>
      </w:rPr>
    </w:lvl>
  </w:abstractNum>
  <w:abstractNum w:abstractNumId="1">
    <w:nsid w:val="4240452B"/>
    <w:multiLevelType w:val="multilevel"/>
    <w:tmpl w:val="D82ED7C0"/>
    <w:lvl w:ilvl="0">
      <w:start w:val="12"/>
      <w:numFmt w:val="decimal"/>
      <w:lvlText w:val="%1"/>
      <w:lvlJc w:val="left"/>
      <w:pPr>
        <w:ind w:left="1368" w:hanging="541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abstractNum w:abstractNumId="2">
    <w:nsid w:val="61A00B8B"/>
    <w:multiLevelType w:val="hybridMultilevel"/>
    <w:tmpl w:val="0B60A994"/>
    <w:lvl w:ilvl="0" w:tplc="22AC6D9C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91DE763A">
      <w:start w:val="1"/>
      <w:numFmt w:val="bullet"/>
      <w:lvlText w:val="•"/>
      <w:lvlJc w:val="left"/>
      <w:pPr>
        <w:ind w:left="1334" w:hanging="151"/>
      </w:pPr>
      <w:rPr>
        <w:rFonts w:hint="default"/>
      </w:rPr>
    </w:lvl>
    <w:lvl w:ilvl="2" w:tplc="EB8CDCCA">
      <w:start w:val="1"/>
      <w:numFmt w:val="bullet"/>
      <w:lvlText w:val="•"/>
      <w:lvlJc w:val="left"/>
      <w:pPr>
        <w:ind w:left="2149" w:hanging="151"/>
      </w:pPr>
      <w:rPr>
        <w:rFonts w:hint="default"/>
      </w:rPr>
    </w:lvl>
    <w:lvl w:ilvl="3" w:tplc="F138AA04">
      <w:start w:val="1"/>
      <w:numFmt w:val="bullet"/>
      <w:lvlText w:val="•"/>
      <w:lvlJc w:val="left"/>
      <w:pPr>
        <w:ind w:left="2963" w:hanging="151"/>
      </w:pPr>
      <w:rPr>
        <w:rFonts w:hint="default"/>
      </w:rPr>
    </w:lvl>
    <w:lvl w:ilvl="4" w:tplc="D4F0A73E">
      <w:start w:val="1"/>
      <w:numFmt w:val="bullet"/>
      <w:lvlText w:val="•"/>
      <w:lvlJc w:val="left"/>
      <w:pPr>
        <w:ind w:left="3778" w:hanging="151"/>
      </w:pPr>
      <w:rPr>
        <w:rFonts w:hint="default"/>
      </w:rPr>
    </w:lvl>
    <w:lvl w:ilvl="5" w:tplc="6524B506">
      <w:start w:val="1"/>
      <w:numFmt w:val="bullet"/>
      <w:lvlText w:val="•"/>
      <w:lvlJc w:val="left"/>
      <w:pPr>
        <w:ind w:left="4592" w:hanging="151"/>
      </w:pPr>
      <w:rPr>
        <w:rFonts w:hint="default"/>
      </w:rPr>
    </w:lvl>
    <w:lvl w:ilvl="6" w:tplc="150A739C">
      <w:start w:val="1"/>
      <w:numFmt w:val="bullet"/>
      <w:lvlText w:val="•"/>
      <w:lvlJc w:val="left"/>
      <w:pPr>
        <w:ind w:left="5407" w:hanging="151"/>
      </w:pPr>
      <w:rPr>
        <w:rFonts w:hint="default"/>
      </w:rPr>
    </w:lvl>
    <w:lvl w:ilvl="7" w:tplc="86CA78FE">
      <w:start w:val="1"/>
      <w:numFmt w:val="bullet"/>
      <w:lvlText w:val="•"/>
      <w:lvlJc w:val="left"/>
      <w:pPr>
        <w:ind w:left="6221" w:hanging="151"/>
      </w:pPr>
      <w:rPr>
        <w:rFonts w:hint="default"/>
      </w:rPr>
    </w:lvl>
    <w:lvl w:ilvl="8" w:tplc="32AC5778">
      <w:start w:val="1"/>
      <w:numFmt w:val="bullet"/>
      <w:lvlText w:val="•"/>
      <w:lvlJc w:val="left"/>
      <w:pPr>
        <w:ind w:left="7036" w:hanging="1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07720C"/>
    <w:rsid w:val="0007720C"/>
    <w:rsid w:val="000B16FA"/>
    <w:rsid w:val="00134AC6"/>
    <w:rsid w:val="002C2975"/>
    <w:rsid w:val="003037E5"/>
    <w:rsid w:val="003E5118"/>
    <w:rsid w:val="006A56EE"/>
    <w:rsid w:val="00750A63"/>
    <w:rsid w:val="00772FE2"/>
    <w:rsid w:val="007A5AD2"/>
    <w:rsid w:val="0085146A"/>
    <w:rsid w:val="009A6A7C"/>
    <w:rsid w:val="00A20D77"/>
    <w:rsid w:val="00AD1060"/>
    <w:rsid w:val="00ED7EA6"/>
    <w:rsid w:val="00F04A64"/>
    <w:rsid w:val="00FF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20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07720C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7720C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7720C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07720C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0B16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16FA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0B16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16FA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0B16FA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1597</Words>
  <Characters>8627</Characters>
  <Application>Microsoft Office Word</Application>
  <DocSecurity>0</DocSecurity>
  <Lines>71</Lines>
  <Paragraphs>20</Paragraphs>
  <ScaleCrop>false</ScaleCrop>
  <Company/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2016-03-16T22:07:00Z</dcterms:created>
  <dcterms:modified xsi:type="dcterms:W3CDTF">2016-03-19T18:18:00Z</dcterms:modified>
</cp:coreProperties>
</file>